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418"/>
      </w:tblGrid>
      <w:tr>
        <w:trPr>
          <w:trHeight w:val="1172"/>
        </w:trPr>
        <w:tc>
          <w:tcPr>
            <w:tcW w:w="14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tabs>
                <w:tab w:val="clear" w:pos="4153"/>
                <w:tab w:val="clear" w:pos="8306"/>
              </w:tabs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8369" cy="77391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768369" cy="773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0.50pt;height:60.94pt;mso-wrap-distance-left:0.00pt;mso-wrap-distance-top:0.00pt;mso-wrap-distance-right:0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>
      <w:pPr>
        <w:pStyle w:val="Normal"/>
      </w:pPr>
    </w:p>
    <w:p>
      <w:pPr>
        <w:pStyle w:val="Header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ЦЕНТРАЛЬНАЯ ИЗБИРАТЕЛЬНАЯ КОМИССИЯ</w:t>
      </w:r>
    </w:p>
    <w:p>
      <w:pPr>
        <w:pStyle w:val="Header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РЕСПУБЛИКИ ТАТАРСТАН</w:t>
      </w:r>
    </w:p>
    <w:p>
      <w:pPr>
        <w:pStyle w:val="Header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</w:r>
    </w:p>
    <w:p>
      <w:pPr>
        <w:pStyle w:val="Header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П О С Т А Н О В Л Е Н И Е</w:t>
      </w:r>
    </w:p>
    <w:p>
      <w:pPr>
        <w:pStyle w:val="Header"/>
        <w:tabs>
          <w:tab w:val="clear" w:pos="4153"/>
          <w:tab w:val="clear" w:pos="8306"/>
        </w:tabs>
        <w:rPr>
          <w:b/>
          <w:sz w:val="28"/>
        </w:rPr>
      </w:pPr>
      <w:r>
        <w:rPr>
          <w:b/>
          <w:sz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11 июня 2024 г.</w:t>
            </w:r>
            <w:r>
              <w:rPr>
                <w:sz w:val="28"/>
              </w:rPr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50/357</w:t>
            </w:r>
            <w:r>
              <w:rPr>
                <w:sz w:val="28"/>
              </w:rPr>
            </w:r>
          </w:p>
        </w:tc>
      </w:tr>
    </w:tbl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 xml:space="preserve">г. Казань</w:t>
      </w:r>
      <w:r>
        <w:rPr>
          <w:sz w:val="22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на территориальные избирательные комиссии, действу</w:t>
      </w:r>
      <w:r>
        <w:rPr>
          <w:b/>
          <w:sz w:val="28"/>
          <w:szCs w:val="28"/>
        </w:rPr>
        <w:t xml:space="preserve">ющие на территории Республики Татарстан</w:t>
      </w:r>
      <w:r>
        <w:rPr>
          <w:b/>
          <w:sz w:val="28"/>
          <w:szCs w:val="28"/>
        </w:rPr>
        <w:t xml:space="preserve">, полномочий окружных избирательных комиссий по выборам депутатов </w:t>
      </w:r>
      <w:r>
        <w:rPr>
          <w:b/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Государственного Сов</w:t>
      </w:r>
      <w:r>
        <w:rPr>
          <w:b/>
          <w:sz w:val="28"/>
        </w:rPr>
        <w:t xml:space="preserve">ета Республики Татарстан седьмого</w:t>
      </w:r>
      <w:r>
        <w:rPr>
          <w:b/>
          <w:sz w:val="28"/>
        </w:rPr>
        <w:t xml:space="preserve"> созыва</w:t>
      </w:r>
      <w:r>
        <w:rPr>
          <w:b/>
          <w:sz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 статьей 14, </w:t>
      </w:r>
      <w:r>
        <w:rPr>
          <w:sz w:val="28"/>
          <w:szCs w:val="28"/>
        </w:rPr>
        <w:t xml:space="preserve">частью 5</w:t>
      </w:r>
      <w:r>
        <w:rPr>
          <w:sz w:val="28"/>
          <w:szCs w:val="28"/>
        </w:rPr>
        <w:t xml:space="preserve"> статьи 91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Избирательного кодекса Р</w:t>
      </w:r>
      <w:r>
        <w:rPr>
          <w:sz w:val="28"/>
          <w:szCs w:val="28"/>
        </w:rPr>
        <w:t xml:space="preserve">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Государственного Совета Республики Татарстан </w:t>
      </w:r>
      <w:r>
        <w:rPr>
          <w:sz w:val="28"/>
          <w:szCs w:val="28"/>
        </w:rPr>
        <w:t xml:space="preserve">18 декабря 2023 года № 2301-VI ГС «Об утверждении схемы одномандатных избирательных округов для проведения выборов депутатов Государственного Совета Республики Татарстан» </w:t>
      </w:r>
      <w:r>
        <w:rPr>
          <w:sz w:val="28"/>
          <w:szCs w:val="28"/>
        </w:rPr>
        <w:t xml:space="preserve">Центральная избирательная комиссия Республики Татарстан п о с т а н о в л я е 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Возложить на территориальн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и, </w:t>
      </w:r>
      <w:r>
        <w:rPr>
          <w:sz w:val="28"/>
          <w:szCs w:val="28"/>
        </w:rPr>
        <w:t xml:space="preserve">действ</w:t>
      </w:r>
      <w:r>
        <w:rPr>
          <w:sz w:val="28"/>
          <w:szCs w:val="28"/>
        </w:rPr>
        <w:t xml:space="preserve">ующие на территории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полномочия окружн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й по выборам депутатов </w:t>
      </w:r>
      <w:r>
        <w:rPr>
          <w:sz w:val="28"/>
          <w:szCs w:val="28"/>
        </w:rPr>
        <w:t xml:space="preserve">Государственного Сов</w:t>
      </w:r>
      <w:r>
        <w:rPr>
          <w:sz w:val="28"/>
          <w:szCs w:val="28"/>
        </w:rPr>
        <w:t xml:space="preserve">ета Республики Татарстан седьмого</w:t>
      </w:r>
      <w:r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  <w:t xml:space="preserve"> </w:t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Территориальным избирательным комиссиям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действу</w:t>
      </w:r>
      <w:r>
        <w:rPr>
          <w:sz w:val="28"/>
          <w:szCs w:val="28"/>
        </w:rPr>
        <w:t xml:space="preserve">ющим на территории Республики Татарстан</w:t>
      </w:r>
      <w:r>
        <w:rPr>
          <w:sz w:val="28"/>
          <w:szCs w:val="28"/>
        </w:rPr>
        <w:t xml:space="preserve">, при осуществлении полномочий окружных избирательных комиссий по выборам </w:t>
      </w:r>
      <w:r>
        <w:rPr>
          <w:sz w:val="28"/>
          <w:szCs w:val="28"/>
        </w:rPr>
        <w:t xml:space="preserve">депутатов Государственного Сов</w:t>
      </w:r>
      <w:r>
        <w:rPr>
          <w:sz w:val="28"/>
          <w:szCs w:val="28"/>
        </w:rPr>
        <w:t xml:space="preserve">ета Республики Татарстан седьмого</w:t>
      </w:r>
      <w:r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использовать имеющиеся печати</w:t>
      </w:r>
      <w:r>
        <w:rPr>
          <w:sz w:val="28"/>
          <w:szCs w:val="28"/>
        </w:rPr>
        <w:t xml:space="preserve"> и бланки территориальных избирательных комиссий.</w:t>
      </w:r>
      <w:r>
        <w:rPr>
          <w:sz w:val="28"/>
          <w:szCs w:val="28"/>
        </w:rPr>
        <w:t xml:space="preserve"> </w:t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Направить настоящее постановление в территориальн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709"/>
        <w:contextualSpacing w:val="true"/>
        <w:jc w:val="both"/>
        <w:rPr>
          <w:sz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постановление на официальном сайте Центральной избирательной комиссии Республики Татарстан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  <w:r>
        <w:rPr>
          <w:sz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2"/>
        <w:gridCol w:w="4394"/>
      </w:tblGrid>
      <w:tr>
        <w:trPr/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А.С. Кондратьев</w:t>
            </w:r>
            <w:r>
              <w:rPr>
                <w:sz w:val="28"/>
                <w:szCs w:val="28"/>
                <w:lang w:val="tt-RU"/>
              </w:rPr>
            </w:r>
          </w:p>
        </w:tc>
      </w:tr>
      <w:tr>
        <w:trPr/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Н.П. Борисова</w:t>
            </w:r>
            <w:r>
              <w:rPr>
                <w:sz w:val="28"/>
                <w:szCs w:val="28"/>
                <w:lang w:val="tt-RU"/>
              </w:rPr>
            </w:r>
          </w:p>
        </w:tc>
      </w:tr>
    </w:tbl>
    <w:p>
      <w:pPr>
        <w:pStyle w:val="Header"/>
        <w:widowControl w:val="false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  <w:szCs w:val="28"/>
        </w:rPr>
        <w:sectPr>
          <w:headerReference w:type="default" r:id="rId7"/>
          <w:type w:val="nextPage"/>
          <w:pgSz w:h="16838" w:w="11906"/>
          <w:pgMar w:top="1134" w:right="851" w:bottom="1134" w:left="1701" w:header="709" w:footer="709" w:gutter="0"/>
          <w:cols w:space="708"/>
          <w:titlePg/>
        </w:sectPr>
      </w:pPr>
      <w:r>
        <w:rPr>
          <w:sz w:val="28"/>
          <w:szCs w:val="28"/>
        </w:rPr>
      </w:r>
    </w:p>
    <w:tbl>
      <w:tblPr>
        <w:tblW w:w="4252" w:type="dxa"/>
        <w:tblInd w:w="563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2"/>
      </w:tblGrid>
      <w:tr>
        <w:trPr/>
        <w:tc>
          <w:tcPr>
            <w:tcW w:w="42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leader="none" w:pos="708"/>
                <w:tab w:val="center" w:leader="none" w:pos="4395"/>
                <w:tab w:val="right" w:leader="none" w:pos="8306"/>
              </w:tabs>
              <w:jc w:val="center"/>
            </w:pPr>
            <w:r>
              <w:rPr>
                <w:sz w:val="28"/>
                <w:szCs w:val="28"/>
              </w:rPr>
              <w:br w:type="page" w:clear="all"/>
            </w:r>
            <w:r>
              <w:t xml:space="preserve">Приложение</w:t>
            </w:r>
          </w:p>
          <w:p>
            <w:pPr>
              <w:pStyle w:val="Normal"/>
              <w:tabs>
                <w:tab w:val="left" w:leader="none" w:pos="708"/>
                <w:tab w:val="center" w:leader="none" w:pos="4395"/>
                <w:tab w:val="right" w:leader="none" w:pos="8306"/>
              </w:tabs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Центральной избирательной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комиссии Республики Татарстан</w:t>
            </w:r>
          </w:p>
          <w:p>
            <w:pPr>
              <w:pStyle w:val="Normal"/>
              <w:jc w:val="center"/>
            </w:pPr>
            <w:r>
              <w:t xml:space="preserve">от</w:t>
            </w:r>
            <w:r>
              <w:t xml:space="preserve"> </w:t>
            </w:r>
            <w:r>
              <w:t xml:space="preserve">11 июня 2024 г.</w:t>
            </w:r>
            <w:r>
              <w:t xml:space="preserve"> </w:t>
            </w:r>
            <w:r>
              <w:t xml:space="preserve">№ </w:t>
            </w:r>
            <w:r>
              <w:t xml:space="preserve">50/357</w:t>
            </w:r>
          </w:p>
        </w:tc>
      </w:tr>
    </w:tbl>
    <w:p>
      <w:pPr>
        <w:pStyle w:val="Normal"/>
        <w:ind w:right="2268"/>
      </w:pPr>
    </w:p>
    <w:p>
      <w:pPr>
        <w:pStyle w:val="Normal"/>
        <w:ind w:right="2268"/>
      </w:pP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территориальных избирательных комиссий Республики Татарстан,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которые возложены полномочия окружных избирательных комиссий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выборам депутатов Государственного Совета Республики Татарстан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седьмого созыва</w:t>
      </w:r>
      <w:r>
        <w:rPr>
          <w:b/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2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2"/>
        <w:gridCol w:w="2687"/>
        <w:gridCol w:w="3661"/>
        <w:gridCol w:w="3574"/>
      </w:tblGrid>
      <w:tr>
        <w:trPr/>
        <w:tc>
          <w:tcPr>
            <w:tcW w:w="6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</w:p>
        </w:tc>
        <w:tc>
          <w:tcPr>
            <w:tcW w:w="280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территориальной избирательной комиссии</w:t>
            </w:r>
          </w:p>
        </w:tc>
        <w:tc>
          <w:tcPr>
            <w:tcW w:w="3242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территориальной избирательной комиссии</w:t>
            </w:r>
          </w:p>
        </w:tc>
        <w:tc>
          <w:tcPr>
            <w:tcW w:w="3861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окружной избирательной комиссии</w:t>
            </w:r>
          </w:p>
        </w:tc>
      </w:tr>
      <w:tr>
        <w:trPr/>
        <w:tc>
          <w:tcPr>
            <w:tcW w:w="6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избирательная комиссия Авиастроительного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420044,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Волгоградская,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8-(843)-223-22-33 (вн.1831)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Айдаровского одномандатного избирательного округа № 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Копыловского одномандатного избирательного округа № 2</w:t>
            </w:r>
          </w:p>
        </w:tc>
      </w:tr>
      <w:tr>
        <w:trPr/>
        <w:tc>
          <w:tcPr>
            <w:tcW w:w="6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Вахитовского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420049, г. Казань, ул. Ипподромная,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18,         </w:t>
            </w:r>
            <w:r>
              <w:rPr>
                <w:sz w:val="24"/>
                <w:szCs w:val="24"/>
              </w:rPr>
              <w:t xml:space="preserve">                          тел. </w:t>
            </w:r>
            <w:r>
              <w:rPr>
                <w:sz w:val="24"/>
                <w:szCs w:val="24"/>
              </w:rPr>
              <w:t xml:space="preserve">(843) 277-03-32, тел./факс (843) 277-03-83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Кремлевского одномандатного избирательного округа № 3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избирательная комиссия Кировского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420095,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Восстания,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82,           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8-(843)-223-29-99 (внутр.3781)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Прибрежного одномандатного избирательного округа № 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Зареченского одномандатного избирательного округа № 5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избирательная комиссия Московского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420095,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Восстания, д.82,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8-(843)-223-29-99 (внутр. 38-32)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Декабристского одномандатного избирательного округа № 6</w:t>
            </w:r>
          </w:p>
        </w:tc>
      </w:tr>
      <w:tr>
        <w:trPr/>
        <w:tc>
          <w:tcPr>
            <w:tcW w:w="6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избирательная комиссия Ново-Савиновского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420044,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Волгоградская,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 </w:t>
            </w:r>
            <w:r>
              <w:rPr>
                <w:sz w:val="24"/>
                <w:szCs w:val="24"/>
              </w:rPr>
              <w:t xml:space="preserve">8-(843)-223-22-33 (вн.1832)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Ибрагимовского одномандатного избирательного округа № 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Чуйковского одномандатного избирательного округа № 8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Ямашевского одномандатного избирательного округа № 9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Приволжского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420000,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Ипподромная, д.17,   тел./факс  (843) 277-64-64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Шаляпинского одномандатного избирательного округа № 10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Горкинского одномандатного избирательного округа № 11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Габишевского одномандатного избирательного округа № 12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Советского района г.Казани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420081,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Казань,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Шуртыгина,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каб.409,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8-(843)-223-20-00 (4831; 4832)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Дербышкинского одномандатного избирательного округа № 13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Пионерского одномандатного избирательного округа № 14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Азинского одномандатного избирательного округа № 15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Гвардейского одномандатного избирательного округа № 16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Комсомольского района г.Набережные Челны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423807,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Набережные Челны, пр.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Джалиля,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56,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</w:t>
            </w:r>
            <w:r>
              <w:rPr>
                <w:sz w:val="24"/>
                <w:szCs w:val="24"/>
              </w:rPr>
              <w:t xml:space="preserve">(8552) 71-47-68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Комсомольского одномандатного избирательного округа № 17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Мелекесского одномандатного избирательного округа № 18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Центрального района г.Набережные Челны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423810,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Набережные Челны, б-р Энтузиастов,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11, </w:t>
            </w:r>
            <w:r>
              <w:rPr>
                <w:sz w:val="24"/>
                <w:szCs w:val="24"/>
              </w:rPr>
              <w:t xml:space="preserve">тел. (8552) 47-55-34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Центрального одномандатного избирательного округа № 19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Электротехнического одномандатного избирательного округа № 20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Вахитовского одномандатного избирательного округа № 21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Автозаводского района г.Набережные Челны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423826, г.Набережные Челны, ул. Ш.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Усманова,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112,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</w:t>
            </w:r>
            <w:r>
              <w:rPr>
                <w:sz w:val="24"/>
                <w:szCs w:val="24"/>
              </w:rPr>
              <w:t xml:space="preserve">(8552) 32-97-98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Боровецкого одноманда</w:t>
            </w:r>
            <w:r>
              <w:rPr>
                <w:sz w:val="24"/>
                <w:szCs w:val="24"/>
              </w:rPr>
              <w:t xml:space="preserve">тного избирательного округа № 22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Автозаводского одноманда</w:t>
            </w:r>
            <w:r>
              <w:rPr>
                <w:sz w:val="24"/>
                <w:szCs w:val="24"/>
              </w:rPr>
              <w:t xml:space="preserve">тного избирательного округа № 23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Нижнекамска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423570,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Нижнекамск, пр.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Строителей, д.12, тел./факс (8555) 42-49-31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Студенческого одномандатного избирательного округа № 24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Бызовского одномандатного избирательного округа № 25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Ахтубинского одномандатного избирательного округа № 26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 Альметьевска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423450,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Альметьевск,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39,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(8553) </w:t>
            </w:r>
            <w:r>
              <w:rPr>
                <w:sz w:val="24"/>
                <w:szCs w:val="24"/>
              </w:rPr>
              <w:t xml:space="preserve">39-01-24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Девонского одномандатного избирательного округа № 27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Бигашевского одномандатного избирательного округа № 28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Альметьевского района</w:t>
            </w:r>
          </w:p>
        </w:tc>
        <w:tc>
          <w:tcPr>
            <w:tcW w:w="3242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423450,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Альметьевск,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39,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(8553) </w:t>
            </w:r>
            <w:r>
              <w:rPr>
                <w:sz w:val="24"/>
                <w:szCs w:val="24"/>
              </w:rPr>
              <w:t xml:space="preserve">39-01-43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Альметьевского одномандатного избирательного округа № 29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Зеленодольска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422550, </w:t>
            </w:r>
            <w:r>
              <w:rPr>
                <w:sz w:val="24"/>
                <w:szCs w:val="24"/>
              </w:rPr>
              <w:t xml:space="preserve">г. Зеленодольск, ул. Ленина, д.41 а,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(84371) 4-06-65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Сайдашевского одномандатного избирательного округа № 30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Зеленодольского района  </w:t>
            </w:r>
          </w:p>
        </w:tc>
        <w:tc>
          <w:tcPr>
            <w:tcW w:w="3242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422550, </w:t>
            </w:r>
            <w:r>
              <w:rPr>
                <w:sz w:val="24"/>
                <w:szCs w:val="24"/>
              </w:rPr>
              <w:t xml:space="preserve">г. Зеленодольск,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41а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(84371) 5-74-34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Волжского одномандатного избирательного округа № 31</w:t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Бугульмы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423234, </w:t>
            </w:r>
            <w:r>
              <w:rPr>
                <w:sz w:val="24"/>
                <w:szCs w:val="24"/>
              </w:rPr>
              <w:t xml:space="preserve">г. Бугульма,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Гафиатуллина,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7, каб.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312, тел. (85594) 4-06-89,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(85594) 4-31-50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Бугульминского одномандатного избирательного округа № 32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bCs/>
                <w:sz w:val="24"/>
                <w:szCs w:val="24"/>
              </w:rPr>
              <w:t xml:space="preserve">г.Бавлы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tabs>
                <w:tab w:val="left" w:leader="none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423930, г.Бавлы, ул.Куйбышева, д.20</w:t>
            </w:r>
            <w:r>
              <w:rPr>
                <w:sz w:val="24"/>
              </w:rPr>
              <w:t xml:space="preserve">,</w:t>
            </w:r>
          </w:p>
          <w:p>
            <w:pPr>
              <w:pStyle w:val="Normal"/>
              <w:widowControl w:val="false"/>
              <w:tabs>
                <w:tab w:val="left" w:leader="none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тел.  (85569) 60718</w:t>
            </w:r>
            <w:r>
              <w:rPr>
                <w:sz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Юго-Восточного одномандатного избирательного округа № 33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Чистополя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422980   г. Чистополь, ул. Бебеля, д.129, каб.7,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 (84342) 5-25-74,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факс </w:t>
            </w:r>
            <w:r>
              <w:rPr>
                <w:sz w:val="24"/>
                <w:szCs w:val="24"/>
              </w:rPr>
              <w:t xml:space="preserve">(84342) 5-43-12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Чистопольского одномандатного избирательного округа № 34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Нижнекамского района</w:t>
            </w:r>
          </w:p>
        </w:tc>
        <w:tc>
          <w:tcPr>
            <w:tcW w:w="3242" w:type="dxa"/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423570,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Нижнекамск, пр.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Строителей, д.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 xml:space="preserve">, тел./факс (8555) 42-49-32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sz w:val="24"/>
                <w:szCs w:val="24"/>
              </w:rPr>
              <w:t xml:space="preserve">Камско-Вятского</w:t>
            </w:r>
            <w:r>
              <w:rPr>
                <w:sz w:val="24"/>
                <w:szCs w:val="24"/>
              </w:rPr>
              <w:t xml:space="preserve"> одномандатн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избирательн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округа № 35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Лениногорского района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423250,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Лениногорск,                ул. Кутузова,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</w:rPr>
              <w:t xml:space="preserve">(</w:t>
            </w:r>
            <w:r>
              <w:rPr>
                <w:sz w:val="24"/>
              </w:rPr>
              <w:t xml:space="preserve">8-8</w:t>
            </w:r>
            <w:r>
              <w:rPr>
                <w:sz w:val="24"/>
              </w:rPr>
              <w:t xml:space="preserve">5595) 5-48-96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Лениногорского одномандатного избирательного округа № 36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bCs/>
                <w:sz w:val="24"/>
                <w:szCs w:val="24"/>
              </w:rPr>
              <w:t xml:space="preserve">Елабужского района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tabs>
                <w:tab w:val="left" w:leader="none" w:pos="7797"/>
              </w:tabs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423603,</w:t>
            </w:r>
            <w:r>
              <w:rPr>
                <w:sz w:val="24"/>
                <w:szCs w:val="24"/>
              </w:rPr>
              <w:t xml:space="preserve">г.Елабуга,п</w:t>
            </w:r>
            <w:r>
              <w:rPr>
                <w:sz w:val="24"/>
                <w:szCs w:val="24"/>
              </w:rPr>
              <w:t xml:space="preserve">р.Нефтяников, д.30 </w:t>
            </w:r>
            <w:r>
              <w:rPr>
                <w:sz w:val="24"/>
                <w:szCs w:val="24"/>
                <w:lang w:val="tt-RU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</w:t>
            </w:r>
            <w:r>
              <w:rPr>
                <w:sz w:val="24"/>
                <w:szCs w:val="24"/>
              </w:rPr>
              <w:t xml:space="preserve">(8-85557) </w:t>
            </w:r>
            <w:r>
              <w:rPr>
                <w:sz w:val="24"/>
                <w:szCs w:val="24"/>
                <w:lang w:val="en-US"/>
              </w:rPr>
              <w:t xml:space="preserve">3-84-98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(8-85557) 3-82-52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Елабужского одномандатного избирательного округа № 37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Заинска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423520    г. Заинск, ул. Крупской, д. 6, каб.9,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 (85558) 3-46-76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Заинского одномандатного избирательного округа № 38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Азнакаево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423330,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Азнакаево,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Ленина, д.22,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(85592) 7-24-68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(85592) 7-24-68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Азнакаевского одномандатного избирательного округа № 39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Нурлат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423040,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Нурлат,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Школьная, д.7, 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(84345) 2-36-50,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 (84345) 2-36-56 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Нурлатского одномандатного избирательного округа № 40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Буинска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Буинск,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Жореса,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110а,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(84374) 3-56-23,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(84374) 3-11-93,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3-11-93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Буинского одномандатного избирательного округа № 41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Менделеевского района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423650,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Менделеевск,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Фомина, д.7,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(85549) 2-79-03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(85549)  2-55-60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Менделеевского одномандатного избирательного округа № 42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Мензелинского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423700,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Мензелинск,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80,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тел./факс  (85555) 3-22-59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Приикского одномандатного избирательного округа № 43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Алексеевского района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422900, </w:t>
            </w:r>
            <w:r>
              <w:rPr>
                <w:sz w:val="24"/>
                <w:szCs w:val="24"/>
              </w:rPr>
              <w:t xml:space="preserve">Алексеевский район, пгт. Алексеевское,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Советская,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6,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(84341) 2-51-00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Алексеевского одномандатного избирательного округа № 44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Апастовского района 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422350, </w:t>
            </w:r>
            <w:r>
              <w:rPr>
                <w:sz w:val="24"/>
                <w:szCs w:val="24"/>
              </w:rPr>
              <w:t xml:space="preserve">Апастовский район, пгт.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Апастово,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Советская, д.2,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тел/ факс   (84376) 2-25-81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Апастовского одномандатного избирательного округа № 45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Арского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422000,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Арск,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 площадь,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14,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(84366) 3-00-33,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 (84366)  3-14-33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Арского одномандатного избирательного округа № 46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Кукморского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</w:t>
            </w:r>
            <w:r>
              <w:rPr>
                <w:sz w:val="24"/>
                <w:szCs w:val="24"/>
              </w:rPr>
              <w:t xml:space="preserve">110, </w:t>
            </w:r>
            <w:r>
              <w:rPr>
                <w:sz w:val="24"/>
                <w:szCs w:val="24"/>
              </w:rPr>
              <w:t xml:space="preserve">Кукморский район, пгт. Кукмор, ул. Ленина, д.15,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(84364) 2-61-56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факс (84364) 2-83-36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Кукморского одномандатного избирательного округа № 47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Лаишевского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422610,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Лаишево,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Первомайская,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39,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(84378) 2-56-77,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(84378) 2-55-55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Лаишевского одномандатного избирательного округа № 48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bCs/>
                <w:sz w:val="24"/>
                <w:szCs w:val="24"/>
              </w:rPr>
              <w:t xml:space="preserve">Пестречинского</w:t>
            </w:r>
            <w:r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422770 Пестречинский район,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Пестрецы, улица Советская, 18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" w:hAnsi="Times" w:cs="Times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  <w:shd w:val="clear" w:color="auto" w:fill="ffffff"/>
              </w:rPr>
              <w:t xml:space="preserve">тел. </w:t>
            </w:r>
            <w:r>
              <w:rPr>
                <w:rFonts w:ascii="Times" w:hAnsi="Times" w:cs="Times"/>
                <w:color w:val="000000"/>
                <w:sz w:val="22"/>
                <w:szCs w:val="22"/>
                <w:shd w:val="clear" w:color="auto" w:fill="ffffff"/>
              </w:rPr>
              <w:t xml:space="preserve">(84367)</w:t>
            </w:r>
            <w:r>
              <w:rPr>
                <w:rFonts w:ascii="Times" w:hAnsi="Times" w:cs="Times"/>
                <w:color w:val="000000"/>
                <w:sz w:val="22"/>
                <w:szCs w:val="22"/>
                <w:shd w:val="clear" w:color="auto" w:fill="ffffff"/>
              </w:rPr>
              <w:t xml:space="preserve">2-92-50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2"/>
                <w:szCs w:val="22"/>
                <w:shd w:val="clear" w:color="auto" w:fill="ffffff"/>
              </w:rPr>
              <w:t xml:space="preserve">факс (84367)-2-92-50</w:t>
            </w: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sz w:val="24"/>
                <w:szCs w:val="24"/>
              </w:rPr>
              <w:t xml:space="preserve">Пестречинского</w:t>
            </w:r>
            <w:r>
              <w:rPr>
                <w:sz w:val="24"/>
                <w:szCs w:val="24"/>
              </w:rPr>
              <w:t xml:space="preserve"> одномандатного избирательного округа № 49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Территориальная избирательная комиссия Высокогорского района</w:t>
            </w:r>
          </w:p>
        </w:tc>
        <w:tc>
          <w:tcPr>
            <w:tcW w:w="324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422700,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Высокогорский район,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пос.ж.д.ст. Высокая Гора,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Кооперативная, д. 5,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(84365) 2-30-53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(84365) 2-30-56  </w:t>
            </w:r>
          </w:p>
        </w:tc>
        <w:tc>
          <w:tcPr>
            <w:tcW w:w="38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Окружная избирательная комиссия Высокогорского одномандатного избирательного округа № 50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h="16838" w:w="11906"/>
      <w:pgMar w:top="1134" w:right="851" w:bottom="1134" w:left="1701" w:header="709" w:footer="709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603000000000000"/>
  </w:font>
  <w:font w:name="Tahoma">
    <w:panose1 w:val="020B060403050404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0"/>
        </w:tabs>
        <w:ind w:firstLine="0" w:left="0"/>
      </w:pPr>
      <w:start w:val="1"/>
      <w:suff w:val="space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space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space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space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space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space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space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space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eader">
    <w:name w:val="Верхний колонтитул"/>
    <w:basedOn w:val="Normal"/>
    <w:next w:val="Header"/>
    <w:link w:val="UserStyle_0"/>
    <w:pPr>
      <w:tabs>
        <w:tab w:val="center" w:leader="none" w:pos="4153"/>
        <w:tab w:val="right" w:leader="none" w:pos="8306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paragraph" w:styleId="BodyText">
    <w:name w:val="Основной текст"/>
    <w:basedOn w:val="Normal"/>
    <w:next w:val="BodyText"/>
    <w:link w:val="Normal"/>
    <w:pPr>
      <w:jc w:val="both"/>
    </w:pPr>
  </w:style>
  <w:style w:type="character" w:styleId="PageNumber">
    <w:name w:val="Номер страницы"/>
    <w:basedOn w:val="NormalCharacter"/>
    <w:next w:val="PageNumber"/>
    <w:link w:val="Normal"/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UserStyle_1"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rPr>
      <w:rFonts w:ascii="Segoe UI" w:hAnsi="Segoe UI" w:cs="Segoe UI"/>
      <w:sz w:val="18"/>
      <w:szCs w:val="18"/>
    </w:rPr>
  </w:style>
  <w:style w:type="paragraph" w:styleId="UserStyle_2">
    <w:name w:val="Знак"/>
    <w:basedOn w:val="Normal"/>
    <w:next w:val="UserStyle_2"/>
    <w:link w:val="Normal"/>
    <w:pPr>
      <w:spacing w:after="100" w:afterAutospacing="1" w:before="100" w:beforeAutospacing="1"/>
    </w:pPr>
    <w:rPr>
      <w:rFonts w:ascii="Tahoma" w:hAnsi="Tahoma"/>
      <w:lang w:val="en-US" w:eastAsia="en-US"/>
    </w:rPr>
  </w:style>
  <w:style w:type="paragraph" w:styleId="Title">
    <w:name w:val="Название"/>
    <w:basedOn w:val="Normal"/>
    <w:next w:val="Title"/>
    <w:link w:val="UserStyle_3"/>
    <w:qFormat/>
    <w:pPr>
      <w:jc w:val="center"/>
    </w:pPr>
    <w:rPr>
      <w:b/>
      <w:sz w:val="24"/>
    </w:rPr>
  </w:style>
  <w:style w:type="character" w:styleId="UserStyle_3">
    <w:name w:val="Название Знак"/>
    <w:next w:val="UserStyle_3"/>
    <w:link w:val="Title"/>
    <w:rPr>
      <w:b/>
      <w:sz w:val="24"/>
    </w:rPr>
  </w:style>
  <w:style w:type="table" w:styleId="TableGrid">
    <w:name w:val="Сетка таблицы"/>
    <w:basedOn w:val="TableNormal"/>
    <w:next w:val="TableGrid"/>
    <w:link w:val="Normal"/>
    <w:uiPriority w:val="39"/>
  </w:style>
  <w:style w:type="character" w:styleId="UserStyle_0">
    <w:name w:val="Верхний колонтитул Знак"/>
    <w:next w:val="UserStyle_0"/>
    <w:link w:val="Header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pn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10033</Characters>
  <CharactersWithSpaces>11770</CharactersWithSpaces>
  <Company>центризбирком рт</Company>
  <DocSecurity>0</DocSecurity>
  <HyperlinksChanged>false</HyperlinksChanged>
  <Lines>83</Lines>
  <Pages>6</Pages>
  <Paragraphs>23</Paragraphs>
  <ScaleCrop>false</ScaleCrop>
  <SharedDoc>false</SharedDoc>
  <Template>Постановление ЦИК РТ.dot</Template>
  <Words>1760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Соколов Г.Ю.</dc:creator>
  <cp:lastModifiedBy>Natasha</cp:lastModifiedBy>
  <cp:revision>44</cp:revision>
  <dcterms:created xsi:type="dcterms:W3CDTF">2019-06-05T05:45:00Z</dcterms:created>
  <dcterms:modified xsi:type="dcterms:W3CDTF">2024-06-11T11:23:00Z</dcterms:modified>
  <cp:version>983040</cp:version>
</cp:coreProperties>
</file>